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C95518">
      <w:pPr>
        <w:spacing w:after="0" w:line="480" w:lineRule="auto"/>
        <w:contextualSpacing/>
        <w:rPr>
          <w:rFonts w:ascii="Times New Roman" w:hAnsi="Times New Roman" w:cs="Times New Roman"/>
          <w:b/>
          <w:sz w:val="24"/>
          <w:szCs w:val="24"/>
        </w:rPr>
      </w:pPr>
    </w:p>
    <w:p w:rsidR="006E73BB" w:rsidP="00EA3C4D">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Criminal Justice</w:t>
      </w:r>
    </w:p>
    <w:p w:rsidR="00E96FF9" w:rsidP="00EA3C4D">
      <w:pPr>
        <w:spacing w:after="0" w:line="480" w:lineRule="auto"/>
        <w:ind w:firstLine="720"/>
        <w:contextualSpacing/>
        <w:jc w:val="center"/>
        <w:rPr>
          <w:rFonts w:ascii="Times New Roman" w:hAnsi="Times New Roman" w:cs="Times New Roman"/>
          <w:b/>
          <w:sz w:val="24"/>
          <w:szCs w:val="24"/>
        </w:rPr>
      </w:pPr>
    </w:p>
    <w:p w:rsidR="006E73BB" w:rsidP="00EA3C4D">
      <w:pPr>
        <w:spacing w:after="0" w:line="480" w:lineRule="auto"/>
        <w:ind w:firstLine="720"/>
        <w:contextualSpacing/>
        <w:jc w:val="center"/>
        <w:rPr>
          <w:rFonts w:ascii="Times New Roman" w:hAnsi="Times New Roman" w:cs="Times New Roman"/>
          <w:b/>
          <w:sz w:val="24"/>
          <w:szCs w:val="24"/>
        </w:rPr>
      </w:pPr>
    </w:p>
    <w:p w:rsidR="006E73BB" w:rsidRPr="001567BB" w:rsidP="00EA3C4D">
      <w:pPr>
        <w:spacing w:after="0" w:line="480" w:lineRule="auto"/>
        <w:contextualSpacing/>
        <w:jc w:val="center"/>
        <w:rPr>
          <w:rFonts w:ascii="Times New Roman" w:hAnsi="Times New Roman" w:cs="Times New Roman"/>
          <w:sz w:val="24"/>
          <w:szCs w:val="24"/>
        </w:rPr>
      </w:pPr>
      <w:r w:rsidRPr="001567BB">
        <w:rPr>
          <w:rFonts w:ascii="Times New Roman" w:hAnsi="Times New Roman" w:cs="Times New Roman"/>
          <w:sz w:val="24"/>
          <w:szCs w:val="24"/>
        </w:rPr>
        <w:t>Name</w:t>
      </w:r>
    </w:p>
    <w:p w:rsidR="006E73BB" w:rsidRPr="001567BB" w:rsidP="00EA3C4D">
      <w:pPr>
        <w:spacing w:after="0" w:line="480" w:lineRule="auto"/>
        <w:contextualSpacing/>
        <w:jc w:val="center"/>
        <w:rPr>
          <w:rFonts w:ascii="Times New Roman" w:hAnsi="Times New Roman" w:cs="Times New Roman"/>
          <w:sz w:val="24"/>
          <w:szCs w:val="24"/>
        </w:rPr>
      </w:pPr>
      <w:r w:rsidRPr="001567BB">
        <w:rPr>
          <w:rFonts w:ascii="Times New Roman" w:hAnsi="Times New Roman" w:cs="Times New Roman"/>
          <w:sz w:val="24"/>
          <w:szCs w:val="24"/>
        </w:rPr>
        <w:t>Institution</w:t>
      </w:r>
    </w:p>
    <w:p w:rsidR="006E73BB" w:rsidRPr="001567BB" w:rsidP="00EA3C4D">
      <w:pPr>
        <w:spacing w:after="0" w:line="480" w:lineRule="auto"/>
        <w:contextualSpacing/>
        <w:jc w:val="center"/>
        <w:rPr>
          <w:rFonts w:ascii="Times New Roman" w:hAnsi="Times New Roman" w:cs="Times New Roman"/>
          <w:sz w:val="24"/>
          <w:szCs w:val="24"/>
        </w:rPr>
      </w:pPr>
      <w:r w:rsidRPr="001567BB">
        <w:rPr>
          <w:rFonts w:ascii="Times New Roman" w:hAnsi="Times New Roman" w:cs="Times New Roman"/>
          <w:sz w:val="24"/>
          <w:szCs w:val="24"/>
        </w:rPr>
        <w:t>Course</w:t>
      </w:r>
    </w:p>
    <w:p w:rsidR="006E73BB" w:rsidRPr="001567BB" w:rsidP="00EA3C4D">
      <w:pPr>
        <w:spacing w:after="0" w:line="480" w:lineRule="auto"/>
        <w:contextualSpacing/>
        <w:jc w:val="center"/>
        <w:rPr>
          <w:rFonts w:ascii="Times New Roman" w:hAnsi="Times New Roman" w:cs="Times New Roman"/>
          <w:sz w:val="24"/>
          <w:szCs w:val="24"/>
        </w:rPr>
      </w:pPr>
      <w:r w:rsidRPr="001567BB">
        <w:rPr>
          <w:rFonts w:ascii="Times New Roman" w:hAnsi="Times New Roman" w:cs="Times New Roman"/>
          <w:sz w:val="24"/>
          <w:szCs w:val="24"/>
        </w:rPr>
        <w:t>Instructor</w:t>
      </w:r>
    </w:p>
    <w:p w:rsidR="006E73BB" w:rsidRPr="001567BB" w:rsidP="00EA3C4D">
      <w:pPr>
        <w:spacing w:after="0" w:line="480" w:lineRule="auto"/>
        <w:contextualSpacing/>
        <w:jc w:val="center"/>
        <w:rPr>
          <w:rFonts w:ascii="Times New Roman" w:hAnsi="Times New Roman" w:cs="Times New Roman"/>
          <w:sz w:val="24"/>
          <w:szCs w:val="24"/>
        </w:rPr>
      </w:pPr>
      <w:r w:rsidRPr="001567BB">
        <w:rPr>
          <w:rFonts w:ascii="Times New Roman" w:hAnsi="Times New Roman" w:cs="Times New Roman"/>
          <w:sz w:val="24"/>
          <w:szCs w:val="24"/>
        </w:rPr>
        <w:t>Date</w:t>
      </w: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6E73BB">
      <w:pPr>
        <w:spacing w:after="0" w:line="480" w:lineRule="auto"/>
        <w:contextualSpacing/>
        <w:rPr>
          <w:rFonts w:ascii="Times New Roman" w:hAnsi="Times New Roman" w:cs="Times New Roman"/>
          <w:b/>
          <w:sz w:val="24"/>
          <w:szCs w:val="24"/>
        </w:rPr>
      </w:pPr>
    </w:p>
    <w:p w:rsidR="006E73BB" w:rsidP="006E73BB">
      <w:pPr>
        <w:spacing w:after="0" w:line="480" w:lineRule="auto"/>
        <w:contextualSpacing/>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p>
    <w:p w:rsidR="006E73BB" w:rsidP="001D2C55">
      <w:pPr>
        <w:spacing w:after="0" w:line="480" w:lineRule="auto"/>
        <w:ind w:firstLine="720"/>
        <w:contextualSpacing/>
        <w:jc w:val="center"/>
        <w:rPr>
          <w:rFonts w:ascii="Times New Roman" w:hAnsi="Times New Roman" w:cs="Times New Roman"/>
          <w:b/>
          <w:sz w:val="24"/>
          <w:szCs w:val="24"/>
        </w:rPr>
      </w:pPr>
      <w:bookmarkStart w:id="0" w:name="_GoBack"/>
      <w:bookmarkEnd w:id="0"/>
    </w:p>
    <w:p w:rsidR="0089175E">
      <w:pPr>
        <w:rPr>
          <w:rFonts w:ascii="Times New Roman" w:hAnsi="Times New Roman" w:cs="Times New Roman"/>
          <w:b/>
          <w:sz w:val="24"/>
          <w:szCs w:val="24"/>
        </w:rPr>
      </w:pPr>
      <w:r>
        <w:rPr>
          <w:rFonts w:ascii="Times New Roman" w:hAnsi="Times New Roman" w:cs="Times New Roman"/>
          <w:b/>
          <w:sz w:val="24"/>
          <w:szCs w:val="24"/>
        </w:rPr>
        <w:br w:type="page"/>
      </w:r>
    </w:p>
    <w:p w:rsidR="001567BB" w:rsidP="001567BB">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Criminal Justice</w:t>
      </w:r>
    </w:p>
    <w:p w:rsidR="002174E0" w:rsidRPr="001D2C55" w:rsidP="001567BB">
      <w:pPr>
        <w:spacing w:after="0" w:line="480" w:lineRule="auto"/>
        <w:contextualSpacing/>
        <w:jc w:val="center"/>
        <w:rPr>
          <w:rFonts w:ascii="Times New Roman" w:hAnsi="Times New Roman" w:cs="Times New Roman"/>
          <w:b/>
          <w:sz w:val="24"/>
          <w:szCs w:val="24"/>
        </w:rPr>
      </w:pPr>
      <w:r w:rsidRPr="001D2C55">
        <w:rPr>
          <w:rFonts w:ascii="Times New Roman" w:hAnsi="Times New Roman" w:cs="Times New Roman"/>
          <w:b/>
          <w:sz w:val="24"/>
          <w:szCs w:val="24"/>
        </w:rPr>
        <w:t>Part 1</w:t>
      </w:r>
    </w:p>
    <w:p w:rsidR="00492DBA" w:rsidP="001D2C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1D2C55">
        <w:rPr>
          <w:rFonts w:ascii="Times New Roman" w:hAnsi="Times New Roman" w:cs="Times New Roman"/>
          <w:sz w:val="24"/>
          <w:szCs w:val="24"/>
        </w:rPr>
        <w:t xml:space="preserve">interesting part of this article, </w:t>
      </w:r>
      <w:r w:rsidRPr="001D2C55" w:rsidR="001D2C55">
        <w:rPr>
          <w:rFonts w:ascii="Times New Roman" w:hAnsi="Times New Roman" w:cs="Times New Roman"/>
          <w:i/>
          <w:sz w:val="24"/>
          <w:szCs w:val="24"/>
        </w:rPr>
        <w:t>Troublesome Offenders</w:t>
      </w:r>
      <w:r w:rsidR="001D2C55">
        <w:rPr>
          <w:rFonts w:ascii="Times New Roman" w:hAnsi="Times New Roman" w:cs="Times New Roman"/>
          <w:sz w:val="24"/>
          <w:szCs w:val="24"/>
        </w:rPr>
        <w:t xml:space="preserve">, </w:t>
      </w:r>
      <w:r>
        <w:rPr>
          <w:rFonts w:ascii="Times New Roman" w:hAnsi="Times New Roman" w:cs="Times New Roman"/>
          <w:sz w:val="24"/>
          <w:szCs w:val="24"/>
        </w:rPr>
        <w:t>is that prosecutors do not see the reasons why offenders with mental health disorders should not be punished for the crime they made. Most offenders with mental disorders are triggered by symptoms such as hallucinations, compulsion, anxiety or anger, among others</w:t>
      </w:r>
      <w:r w:rsidR="001D2C55">
        <w:rPr>
          <w:rFonts w:ascii="Times New Roman" w:hAnsi="Times New Roman" w:cs="Times New Roman"/>
          <w:sz w:val="24"/>
          <w:szCs w:val="24"/>
        </w:rPr>
        <w:t xml:space="preserve"> (Canton, 2016)</w:t>
      </w:r>
      <w:r>
        <w:rPr>
          <w:rFonts w:ascii="Times New Roman" w:hAnsi="Times New Roman" w:cs="Times New Roman"/>
          <w:sz w:val="24"/>
          <w:szCs w:val="24"/>
        </w:rPr>
        <w:t>. Hence, when they injure or commit a crime against another person is by accident since they are not in their right mind. Therefore, just like other offenders who commit a crime by accident when they are triggered, the mentally ill offenders should be punished for their crimes while receiving psychological treatments during their sentence. As a probation officer, many clients with mental disord</w:t>
      </w:r>
      <w:r w:rsidR="00885AF2">
        <w:rPr>
          <w:rFonts w:ascii="Times New Roman" w:hAnsi="Times New Roman" w:cs="Times New Roman"/>
          <w:sz w:val="24"/>
          <w:szCs w:val="24"/>
        </w:rPr>
        <w:t>ers who adhere to going for psychological therapy tend to improve on their emotional controls and their triggers. However, other mentally ill offenders do not continue with their treatments as required, leading to them being engaged in another crime.</w:t>
      </w:r>
    </w:p>
    <w:p w:rsidR="001D2C55" w:rsidRPr="001D2C55" w:rsidP="001567BB">
      <w:pPr>
        <w:spacing w:after="0" w:line="480" w:lineRule="auto"/>
        <w:contextualSpacing/>
        <w:jc w:val="center"/>
        <w:rPr>
          <w:rFonts w:ascii="Times New Roman" w:hAnsi="Times New Roman" w:cs="Times New Roman"/>
          <w:b/>
          <w:sz w:val="24"/>
          <w:szCs w:val="24"/>
        </w:rPr>
      </w:pPr>
      <w:r w:rsidRPr="001D2C55">
        <w:rPr>
          <w:rFonts w:ascii="Times New Roman" w:hAnsi="Times New Roman" w:cs="Times New Roman"/>
          <w:b/>
          <w:sz w:val="24"/>
          <w:szCs w:val="24"/>
        </w:rPr>
        <w:t>Reference</w:t>
      </w:r>
    </w:p>
    <w:p w:rsidR="001D2C55" w:rsidP="001D2C55">
      <w:pPr>
        <w:spacing w:after="0" w:line="480" w:lineRule="auto"/>
        <w:ind w:left="720" w:hanging="720"/>
        <w:contextualSpacing/>
        <w:rPr>
          <w:rFonts w:ascii="Times New Roman" w:hAnsi="Times New Roman" w:cs="Times New Roman"/>
          <w:sz w:val="24"/>
          <w:szCs w:val="24"/>
        </w:rPr>
      </w:pPr>
      <w:r w:rsidRPr="001D2C55">
        <w:rPr>
          <w:rFonts w:ascii="Times New Roman" w:hAnsi="Times New Roman" w:cs="Times New Roman"/>
          <w:sz w:val="24"/>
          <w:szCs w:val="24"/>
        </w:rPr>
        <w:t>Canton, R. (2016). Troublesome offenders, undeserving patients? The precarious rights of mentally disordered offenders. In Mental Health, Crime and Criminal Justice (pp. 28-47). Palgrave Macmillan, London.</w:t>
      </w:r>
    </w:p>
    <w:p w:rsidR="00885AF2" w:rsidRPr="001D2C55" w:rsidP="001567BB">
      <w:pPr>
        <w:spacing w:after="0" w:line="480" w:lineRule="auto"/>
        <w:contextualSpacing/>
        <w:jc w:val="center"/>
        <w:rPr>
          <w:rFonts w:ascii="Times New Roman" w:hAnsi="Times New Roman" w:cs="Times New Roman"/>
          <w:b/>
          <w:sz w:val="24"/>
          <w:szCs w:val="24"/>
        </w:rPr>
      </w:pPr>
      <w:r w:rsidRPr="001D2C55">
        <w:rPr>
          <w:rFonts w:ascii="Times New Roman" w:hAnsi="Times New Roman" w:cs="Times New Roman"/>
          <w:b/>
          <w:sz w:val="24"/>
          <w:szCs w:val="24"/>
        </w:rPr>
        <w:t>Part 2</w:t>
      </w:r>
    </w:p>
    <w:p w:rsidR="00885AF2" w:rsidP="001D2C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When decisions are made </w:t>
      </w:r>
      <w:r w:rsidRPr="00885AF2">
        <w:rPr>
          <w:rFonts w:ascii="Times New Roman" w:hAnsi="Times New Roman" w:cs="Times New Roman"/>
          <w:sz w:val="24"/>
          <w:szCs w:val="24"/>
        </w:rPr>
        <w:t>at critical points in the criminal justice system</w:t>
      </w:r>
      <w:r>
        <w:rPr>
          <w:rFonts w:ascii="Times New Roman" w:hAnsi="Times New Roman" w:cs="Times New Roman"/>
          <w:sz w:val="24"/>
          <w:szCs w:val="24"/>
        </w:rPr>
        <w:t xml:space="preserve">, </w:t>
      </w:r>
      <w:r w:rsidR="00565B26">
        <w:rPr>
          <w:rFonts w:ascii="Times New Roman" w:hAnsi="Times New Roman" w:cs="Times New Roman"/>
          <w:sz w:val="24"/>
          <w:szCs w:val="24"/>
        </w:rPr>
        <w:t xml:space="preserve">they consider specific charges, sentencing, re-entry plan, the decision to arrest and the decision to prosecute. When an individual is suspected of having </w:t>
      </w:r>
      <w:r w:rsidR="00BF5DC2">
        <w:rPr>
          <w:rFonts w:ascii="Times New Roman" w:hAnsi="Times New Roman" w:cs="Times New Roman"/>
          <w:sz w:val="24"/>
          <w:szCs w:val="24"/>
        </w:rPr>
        <w:t>committed</w:t>
      </w:r>
      <w:r w:rsidR="00565B26">
        <w:rPr>
          <w:rFonts w:ascii="Times New Roman" w:hAnsi="Times New Roman" w:cs="Times New Roman"/>
          <w:sz w:val="24"/>
          <w:szCs w:val="24"/>
        </w:rPr>
        <w:t xml:space="preserve"> a crime, they are detained and investigated before taken on trial. During the trails in a court of law, the offenders are charged with specific charges such as first-degree murder, or arson and from there the case proceeds by </w:t>
      </w:r>
      <w:r w:rsidR="00BF5DC2">
        <w:rPr>
          <w:rFonts w:ascii="Times New Roman" w:hAnsi="Times New Roman" w:cs="Times New Roman"/>
          <w:sz w:val="24"/>
          <w:szCs w:val="24"/>
        </w:rPr>
        <w:t>the provision</w:t>
      </w:r>
      <w:r w:rsidR="00565B26">
        <w:rPr>
          <w:rFonts w:ascii="Times New Roman" w:hAnsi="Times New Roman" w:cs="Times New Roman"/>
          <w:sz w:val="24"/>
          <w:szCs w:val="24"/>
        </w:rPr>
        <w:t xml:space="preserve"> </w:t>
      </w:r>
      <w:r w:rsidR="00565B26">
        <w:rPr>
          <w:rFonts w:ascii="Times New Roman" w:hAnsi="Times New Roman" w:cs="Times New Roman"/>
          <w:sz w:val="24"/>
          <w:szCs w:val="24"/>
        </w:rPr>
        <w:t xml:space="preserve">of evidence and witnesses to the particular crime. The decision to prosecute comes from the jury members </w:t>
      </w:r>
      <w:r w:rsidR="00BF5DC2">
        <w:rPr>
          <w:rFonts w:ascii="Times New Roman" w:hAnsi="Times New Roman" w:cs="Times New Roman"/>
          <w:sz w:val="24"/>
          <w:szCs w:val="24"/>
        </w:rPr>
        <w:t>who</w:t>
      </w:r>
      <w:r w:rsidR="00565B26">
        <w:rPr>
          <w:rFonts w:ascii="Times New Roman" w:hAnsi="Times New Roman" w:cs="Times New Roman"/>
          <w:sz w:val="24"/>
          <w:szCs w:val="24"/>
        </w:rPr>
        <w:t xml:space="preserve"> are given time to consider the case of the offender and decide if they were guilty or not</w:t>
      </w:r>
      <w:r w:rsidR="006E73BB">
        <w:rPr>
          <w:rFonts w:ascii="Times New Roman" w:hAnsi="Times New Roman" w:cs="Times New Roman"/>
          <w:sz w:val="24"/>
          <w:szCs w:val="24"/>
        </w:rPr>
        <w:t xml:space="preserve"> (Harcourt, 2020)</w:t>
      </w:r>
      <w:r w:rsidR="00565B26">
        <w:rPr>
          <w:rFonts w:ascii="Times New Roman" w:hAnsi="Times New Roman" w:cs="Times New Roman"/>
          <w:sz w:val="24"/>
          <w:szCs w:val="24"/>
        </w:rPr>
        <w:t xml:space="preserve">. If </w:t>
      </w:r>
      <w:r w:rsidR="00BF5DC2">
        <w:rPr>
          <w:rFonts w:ascii="Times New Roman" w:hAnsi="Times New Roman" w:cs="Times New Roman"/>
          <w:sz w:val="24"/>
          <w:szCs w:val="24"/>
        </w:rPr>
        <w:t>found</w:t>
      </w:r>
      <w:r w:rsidR="00565B26">
        <w:rPr>
          <w:rFonts w:ascii="Times New Roman" w:hAnsi="Times New Roman" w:cs="Times New Roman"/>
          <w:sz w:val="24"/>
          <w:szCs w:val="24"/>
        </w:rPr>
        <w:t xml:space="preserve"> guilty, then the </w:t>
      </w:r>
      <w:r w:rsidR="00BF5DC2">
        <w:rPr>
          <w:rFonts w:ascii="Times New Roman" w:hAnsi="Times New Roman" w:cs="Times New Roman"/>
          <w:sz w:val="24"/>
          <w:szCs w:val="24"/>
        </w:rPr>
        <w:t>judge</w:t>
      </w:r>
      <w:r w:rsidR="00565B26">
        <w:rPr>
          <w:rFonts w:ascii="Times New Roman" w:hAnsi="Times New Roman" w:cs="Times New Roman"/>
          <w:sz w:val="24"/>
          <w:szCs w:val="24"/>
        </w:rPr>
        <w:t xml:space="preserve"> sentences the offender to prison </w:t>
      </w:r>
      <w:r w:rsidR="00BF5DC2">
        <w:rPr>
          <w:rFonts w:ascii="Times New Roman" w:hAnsi="Times New Roman" w:cs="Times New Roman"/>
          <w:sz w:val="24"/>
          <w:szCs w:val="24"/>
        </w:rPr>
        <w:t>for</w:t>
      </w:r>
      <w:r w:rsidR="00565B26">
        <w:rPr>
          <w:rFonts w:ascii="Times New Roman" w:hAnsi="Times New Roman" w:cs="Times New Roman"/>
          <w:sz w:val="24"/>
          <w:szCs w:val="24"/>
        </w:rPr>
        <w:t xml:space="preserve"> a specific time or </w:t>
      </w:r>
      <w:r w:rsidR="00BF5DC2">
        <w:rPr>
          <w:rFonts w:ascii="Times New Roman" w:hAnsi="Times New Roman" w:cs="Times New Roman"/>
          <w:sz w:val="24"/>
          <w:szCs w:val="24"/>
        </w:rPr>
        <w:t>duration</w:t>
      </w:r>
      <w:r w:rsidR="00565B26">
        <w:rPr>
          <w:rFonts w:ascii="Times New Roman" w:hAnsi="Times New Roman" w:cs="Times New Roman"/>
          <w:sz w:val="24"/>
          <w:szCs w:val="24"/>
        </w:rPr>
        <w:t xml:space="preserve">. Also, suppose an individual is mentally ill and has been </w:t>
      </w:r>
      <w:r w:rsidR="0036357B">
        <w:rPr>
          <w:rFonts w:ascii="Times New Roman" w:hAnsi="Times New Roman" w:cs="Times New Roman"/>
          <w:sz w:val="24"/>
          <w:szCs w:val="24"/>
        </w:rPr>
        <w:t>for</w:t>
      </w:r>
      <w:r w:rsidR="00565B26">
        <w:rPr>
          <w:rFonts w:ascii="Times New Roman" w:hAnsi="Times New Roman" w:cs="Times New Roman"/>
          <w:sz w:val="24"/>
          <w:szCs w:val="24"/>
        </w:rPr>
        <w:t xml:space="preserve"> the longest time; they can be entered into a re-entry or rehabilitation program where they can be treated and helped to </w:t>
      </w:r>
      <w:r w:rsidR="00BF5DC2">
        <w:rPr>
          <w:rFonts w:ascii="Times New Roman" w:hAnsi="Times New Roman" w:cs="Times New Roman"/>
          <w:sz w:val="24"/>
          <w:szCs w:val="24"/>
        </w:rPr>
        <w:t>reform</w:t>
      </w:r>
      <w:r w:rsidR="00565B26">
        <w:rPr>
          <w:rFonts w:ascii="Times New Roman" w:hAnsi="Times New Roman" w:cs="Times New Roman"/>
          <w:sz w:val="24"/>
          <w:szCs w:val="24"/>
        </w:rPr>
        <w:t xml:space="preserve"> through therapy or psychological treatments. </w:t>
      </w:r>
    </w:p>
    <w:p w:rsidR="001D2C55" w:rsidRPr="006E73BB" w:rsidP="001567BB">
      <w:pPr>
        <w:spacing w:after="0" w:line="480" w:lineRule="auto"/>
        <w:contextualSpacing/>
        <w:jc w:val="center"/>
        <w:rPr>
          <w:rFonts w:ascii="Times New Roman" w:hAnsi="Times New Roman" w:cs="Times New Roman"/>
          <w:b/>
          <w:sz w:val="24"/>
          <w:szCs w:val="24"/>
        </w:rPr>
      </w:pPr>
      <w:r w:rsidRPr="006E73BB">
        <w:rPr>
          <w:rFonts w:ascii="Times New Roman" w:hAnsi="Times New Roman" w:cs="Times New Roman"/>
          <w:b/>
          <w:sz w:val="24"/>
          <w:szCs w:val="24"/>
        </w:rPr>
        <w:t>Reference</w:t>
      </w:r>
    </w:p>
    <w:p w:rsidR="001D2C55" w:rsidP="006E73B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Harcourt, H. M. (2020). </w:t>
      </w:r>
      <w:r w:rsidRPr="006E73BB">
        <w:rPr>
          <w:rFonts w:ascii="Times New Roman" w:hAnsi="Times New Roman" w:cs="Times New Roman"/>
          <w:sz w:val="24"/>
          <w:szCs w:val="24"/>
        </w:rPr>
        <w:t xml:space="preserve">Criminal Justice. The Process of Criminal Justice. </w:t>
      </w:r>
      <w:r w:rsidR="0036357B">
        <w:rPr>
          <w:rFonts w:ascii="Times New Roman" w:hAnsi="Times New Roman" w:cs="Times New Roman"/>
          <w:sz w:val="24"/>
          <w:szCs w:val="24"/>
        </w:rPr>
        <w:t xml:space="preserve">Cliff notes. </w:t>
      </w:r>
    </w:p>
    <w:p w:rsidR="00BF5DC2" w:rsidRPr="001D2C55" w:rsidP="001567BB">
      <w:pPr>
        <w:spacing w:after="0" w:line="480" w:lineRule="auto"/>
        <w:contextualSpacing/>
        <w:jc w:val="center"/>
        <w:rPr>
          <w:rFonts w:ascii="Times New Roman" w:hAnsi="Times New Roman" w:cs="Times New Roman"/>
          <w:b/>
          <w:sz w:val="24"/>
          <w:szCs w:val="24"/>
        </w:rPr>
      </w:pPr>
      <w:r w:rsidRPr="001D2C55">
        <w:rPr>
          <w:rFonts w:ascii="Times New Roman" w:hAnsi="Times New Roman" w:cs="Times New Roman"/>
          <w:b/>
          <w:sz w:val="24"/>
          <w:szCs w:val="24"/>
        </w:rPr>
        <w:t>Part 3</w:t>
      </w:r>
    </w:p>
    <w:p w:rsidR="004540D6" w:rsidP="001D2C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most interesting thing written in the article, </w:t>
      </w:r>
      <w:r w:rsidRPr="004B169B">
        <w:rPr>
          <w:rFonts w:ascii="Times New Roman" w:hAnsi="Times New Roman" w:cs="Times New Roman"/>
          <w:i/>
          <w:sz w:val="24"/>
          <w:szCs w:val="24"/>
        </w:rPr>
        <w:t>Victims’ Rights and Remedies</w:t>
      </w:r>
      <w:r>
        <w:rPr>
          <w:rFonts w:ascii="Times New Roman" w:hAnsi="Times New Roman" w:cs="Times New Roman"/>
          <w:i/>
          <w:sz w:val="24"/>
          <w:szCs w:val="24"/>
        </w:rPr>
        <w:t xml:space="preserve">, </w:t>
      </w:r>
      <w:r>
        <w:rPr>
          <w:rFonts w:ascii="Times New Roman" w:hAnsi="Times New Roman" w:cs="Times New Roman"/>
          <w:sz w:val="24"/>
          <w:szCs w:val="24"/>
        </w:rPr>
        <w:t>is that victims of criminal activities or actions were denied rights by the court of law or criminal justice. Victims of criminal acts were denied rights since most of the victims were from the inferior groups such as religion, ethnicity, gender, race or culture. Hence, they had no reason to demand compensation or notifications from the court of law during court cases that were about them. Thus, this showed that the court discriminated against victims and denied them their rights because they were from inferior groups in the United States, whereby they had no such rights, to begin with</w:t>
      </w:r>
      <w:r w:rsidR="006E73BB">
        <w:rPr>
          <w:rFonts w:ascii="Times New Roman" w:hAnsi="Times New Roman" w:cs="Times New Roman"/>
          <w:sz w:val="24"/>
          <w:szCs w:val="24"/>
        </w:rPr>
        <w:t xml:space="preserve"> (Clevenger et al., 2018)</w:t>
      </w:r>
      <w:r>
        <w:rPr>
          <w:rFonts w:ascii="Times New Roman" w:hAnsi="Times New Roman" w:cs="Times New Roman"/>
          <w:sz w:val="24"/>
          <w:szCs w:val="24"/>
        </w:rPr>
        <w:t xml:space="preserve">. </w:t>
      </w:r>
    </w:p>
    <w:p w:rsidR="00BF5DC2" w:rsidRPr="004B169B" w:rsidP="001D2C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believe that the factors of race, sexual orientation and class </w:t>
      </w:r>
      <w:r w:rsidRPr="004540D6">
        <w:rPr>
          <w:rFonts w:ascii="Times New Roman" w:hAnsi="Times New Roman" w:cs="Times New Roman"/>
          <w:sz w:val="24"/>
          <w:szCs w:val="24"/>
        </w:rPr>
        <w:t>affe</w:t>
      </w:r>
      <w:r>
        <w:rPr>
          <w:rFonts w:ascii="Times New Roman" w:hAnsi="Times New Roman" w:cs="Times New Roman"/>
          <w:sz w:val="24"/>
          <w:szCs w:val="24"/>
        </w:rPr>
        <w:t xml:space="preserve">ct the perception of the victims </w:t>
      </w:r>
      <w:r w:rsidRPr="004540D6">
        <w:rPr>
          <w:rFonts w:ascii="Times New Roman" w:hAnsi="Times New Roman" w:cs="Times New Roman"/>
          <w:sz w:val="24"/>
          <w:szCs w:val="24"/>
        </w:rPr>
        <w:t>by different constituents, including the public, the court system, and the media.</w:t>
      </w:r>
      <w:r>
        <w:rPr>
          <w:rFonts w:ascii="Times New Roman" w:hAnsi="Times New Roman" w:cs="Times New Roman"/>
          <w:sz w:val="24"/>
          <w:szCs w:val="24"/>
        </w:rPr>
        <w:t xml:space="preserve"> Most victims from lower classes who went against individuals with higher classes in society are perceived as individuals who want compensation or sympathy. Hence, since victims are given the right to compensation, and the public will always be on the side of the lower class victims, the court is obliged to demand compensation from the offender to the victim. The </w:t>
      </w:r>
      <w:r w:rsidR="009B7125">
        <w:rPr>
          <w:rFonts w:ascii="Times New Roman" w:hAnsi="Times New Roman" w:cs="Times New Roman"/>
          <w:sz w:val="24"/>
          <w:szCs w:val="24"/>
        </w:rPr>
        <w:t xml:space="preserve">court system </w:t>
      </w:r>
      <w:r w:rsidR="009B7125">
        <w:rPr>
          <w:rFonts w:ascii="Times New Roman" w:hAnsi="Times New Roman" w:cs="Times New Roman"/>
          <w:sz w:val="24"/>
          <w:szCs w:val="24"/>
        </w:rPr>
        <w:t>perceives victims of individual races or religion as not important cases or can give the victimizers lighter punishments just because the victims are from inferior groups. Also, the media, especially social media forums, victimizes race and sexual orientation so much that the criminal justice has no other choice than to arrest and sentence the victimizers according to their charges.</w:t>
      </w:r>
    </w:p>
    <w:p w:rsidR="00885AF2" w:rsidRPr="006E73BB" w:rsidP="001567BB">
      <w:pPr>
        <w:spacing w:after="0" w:line="480" w:lineRule="auto"/>
        <w:contextualSpacing/>
        <w:jc w:val="center"/>
        <w:rPr>
          <w:rFonts w:ascii="Times New Roman" w:hAnsi="Times New Roman" w:cs="Times New Roman"/>
          <w:b/>
          <w:sz w:val="24"/>
          <w:szCs w:val="24"/>
        </w:rPr>
      </w:pPr>
      <w:r w:rsidRPr="006E73BB">
        <w:rPr>
          <w:rFonts w:ascii="Times New Roman" w:hAnsi="Times New Roman" w:cs="Times New Roman"/>
          <w:b/>
          <w:sz w:val="24"/>
          <w:szCs w:val="24"/>
        </w:rPr>
        <w:t>Reference</w:t>
      </w:r>
    </w:p>
    <w:p w:rsidR="001D2C55" w:rsidRPr="002A7675" w:rsidP="006E73BB">
      <w:pPr>
        <w:spacing w:after="0" w:line="480" w:lineRule="auto"/>
        <w:ind w:left="720" w:hanging="720"/>
        <w:contextualSpacing/>
        <w:rPr>
          <w:rFonts w:ascii="Times New Roman" w:hAnsi="Times New Roman" w:cs="Times New Roman"/>
          <w:sz w:val="24"/>
          <w:szCs w:val="24"/>
        </w:rPr>
      </w:pPr>
      <w:r w:rsidRPr="006E73BB">
        <w:rPr>
          <w:rFonts w:ascii="Times New Roman" w:hAnsi="Times New Roman" w:cs="Times New Roman"/>
          <w:sz w:val="24"/>
          <w:szCs w:val="24"/>
        </w:rPr>
        <w:t xml:space="preserve">Clevenger, S., Navarro, J. N., Marcum, C. D., &amp;amp; Higgins, G. E. (2018). Victims’ Rights and Remedies. Understanding Victimology, 39–66. </w:t>
      </w:r>
    </w:p>
    <w:p w:rsidR="006E73BB" w:rsidRPr="002A7675">
      <w:pPr>
        <w:spacing w:after="0" w:line="480" w:lineRule="auto"/>
        <w:ind w:left="720" w:hanging="720"/>
        <w:contextualSpacing/>
        <w:rPr>
          <w:rFonts w:ascii="Times New Roman" w:hAnsi="Times New Roman" w:cs="Times New Roman"/>
          <w:sz w:val="24"/>
          <w:szCs w:val="24"/>
        </w:rPr>
      </w:pPr>
    </w:p>
    <w:sectPr w:rsidSect="006E73B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80323018"/>
      <w:docPartObj>
        <w:docPartGallery w:val="Page Numbers (Top of Page)"/>
        <w:docPartUnique/>
      </w:docPartObj>
    </w:sdtPr>
    <w:sdtEndPr>
      <w:rPr>
        <w:rFonts w:ascii="Times New Roman" w:hAnsi="Times New Roman" w:cs="Times New Roman"/>
        <w:sz w:val="24"/>
        <w:szCs w:val="24"/>
      </w:rPr>
    </w:sdtEndPr>
    <w:sdtContent>
      <w:p w:rsidR="006E73BB" w:rsidRPr="006E73BB" w:rsidP="006E73BB">
        <w:pPr>
          <w:pStyle w:val="Header"/>
          <w:spacing w:line="480" w:lineRule="auto"/>
          <w:rPr>
            <w:rFonts w:ascii="Times New Roman" w:hAnsi="Times New Roman" w:cs="Times New Roman"/>
            <w:sz w:val="24"/>
            <w:szCs w:val="24"/>
          </w:rPr>
        </w:pPr>
        <w:r>
          <w:t xml:space="preserve">                                                                                                                                                                                        </w:t>
        </w:r>
        <w:r w:rsidRPr="006E73BB">
          <w:rPr>
            <w:rFonts w:ascii="Times New Roman" w:hAnsi="Times New Roman" w:cs="Times New Roman"/>
            <w:sz w:val="24"/>
            <w:szCs w:val="24"/>
          </w:rPr>
          <w:fldChar w:fldCharType="begin"/>
        </w:r>
        <w:r w:rsidRPr="006E73BB">
          <w:rPr>
            <w:rFonts w:ascii="Times New Roman" w:hAnsi="Times New Roman" w:cs="Times New Roman"/>
            <w:sz w:val="24"/>
            <w:szCs w:val="24"/>
          </w:rPr>
          <w:instrText xml:space="preserve"> PAGE   \* MERGEFORMAT </w:instrText>
        </w:r>
        <w:r w:rsidRPr="006E73BB">
          <w:rPr>
            <w:rFonts w:ascii="Times New Roman" w:hAnsi="Times New Roman" w:cs="Times New Roman"/>
            <w:sz w:val="24"/>
            <w:szCs w:val="24"/>
          </w:rPr>
          <w:fldChar w:fldCharType="separate"/>
        </w:r>
        <w:r w:rsidR="0089175E">
          <w:rPr>
            <w:rFonts w:ascii="Times New Roman" w:hAnsi="Times New Roman" w:cs="Times New Roman"/>
            <w:noProof/>
            <w:sz w:val="24"/>
            <w:szCs w:val="24"/>
          </w:rPr>
          <w:t>4</w:t>
        </w:r>
        <w:r w:rsidRPr="006E73BB">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2534349"/>
      <w:docPartObj>
        <w:docPartGallery w:val="Page Numbers (Top of Page)"/>
        <w:docPartUnique/>
      </w:docPartObj>
    </w:sdtPr>
    <w:sdtEndPr>
      <w:rPr>
        <w:rFonts w:ascii="Times New Roman" w:hAnsi="Times New Roman" w:cs="Times New Roman"/>
        <w:noProof/>
        <w:sz w:val="24"/>
        <w:szCs w:val="24"/>
      </w:rPr>
    </w:sdtEndPr>
    <w:sdtContent>
      <w:p w:rsidR="006E73BB" w:rsidRPr="006E73BB" w:rsidP="006E73BB">
        <w:pPr>
          <w:pStyle w:val="Header"/>
          <w:spacing w:line="480" w:lineRule="auto"/>
          <w:jc w:val="right"/>
          <w:rPr>
            <w:rFonts w:ascii="Times New Roman" w:hAnsi="Times New Roman" w:cs="Times New Roman"/>
            <w:sz w:val="24"/>
            <w:szCs w:val="24"/>
          </w:rPr>
        </w:pPr>
        <w:r w:rsidRPr="006E73BB">
          <w:rPr>
            <w:rFonts w:ascii="Times New Roman" w:hAnsi="Times New Roman" w:cs="Times New Roman"/>
            <w:sz w:val="24"/>
            <w:szCs w:val="24"/>
          </w:rPr>
          <w:fldChar w:fldCharType="begin"/>
        </w:r>
        <w:r w:rsidRPr="006E73BB">
          <w:rPr>
            <w:rFonts w:ascii="Times New Roman" w:hAnsi="Times New Roman" w:cs="Times New Roman"/>
            <w:sz w:val="24"/>
            <w:szCs w:val="24"/>
          </w:rPr>
          <w:instrText xml:space="preserve"> PAGE   \* MERGEFORMAT </w:instrText>
        </w:r>
        <w:r w:rsidRPr="006E73BB">
          <w:rPr>
            <w:rFonts w:ascii="Times New Roman" w:hAnsi="Times New Roman" w:cs="Times New Roman"/>
            <w:sz w:val="24"/>
            <w:szCs w:val="24"/>
          </w:rPr>
          <w:fldChar w:fldCharType="separate"/>
        </w:r>
        <w:r w:rsidR="0089175E">
          <w:rPr>
            <w:rFonts w:ascii="Times New Roman" w:hAnsi="Times New Roman" w:cs="Times New Roman"/>
            <w:noProof/>
            <w:sz w:val="24"/>
            <w:szCs w:val="24"/>
          </w:rPr>
          <w:t>1</w:t>
        </w:r>
        <w:r w:rsidRPr="006E73B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0D"/>
    <w:rsid w:val="00095D7C"/>
    <w:rsid w:val="001567BB"/>
    <w:rsid w:val="001D2C55"/>
    <w:rsid w:val="002174E0"/>
    <w:rsid w:val="002A7675"/>
    <w:rsid w:val="0036357B"/>
    <w:rsid w:val="004540D6"/>
    <w:rsid w:val="00492DBA"/>
    <w:rsid w:val="004B169B"/>
    <w:rsid w:val="00565B26"/>
    <w:rsid w:val="005C6AEF"/>
    <w:rsid w:val="00672207"/>
    <w:rsid w:val="006E73BB"/>
    <w:rsid w:val="00885AF2"/>
    <w:rsid w:val="0089175E"/>
    <w:rsid w:val="008943D7"/>
    <w:rsid w:val="00902B06"/>
    <w:rsid w:val="009B7125"/>
    <w:rsid w:val="00BC4D0D"/>
    <w:rsid w:val="00BF5DC2"/>
    <w:rsid w:val="00C95518"/>
    <w:rsid w:val="00C9610A"/>
    <w:rsid w:val="00E96FF9"/>
    <w:rsid w:val="00EA3C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D374E0A-34E4-4D88-9D7E-5F69C9D5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3BB"/>
    <w:rPr>
      <w:color w:val="0563C1" w:themeColor="hyperlink"/>
      <w:u w:val="single"/>
    </w:rPr>
  </w:style>
  <w:style w:type="paragraph" w:styleId="Header">
    <w:name w:val="header"/>
    <w:basedOn w:val="Normal"/>
    <w:link w:val="HeaderChar"/>
    <w:uiPriority w:val="99"/>
    <w:unhideWhenUsed/>
    <w:rsid w:val="006E73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3BB"/>
  </w:style>
  <w:style w:type="paragraph" w:styleId="Footer">
    <w:name w:val="footer"/>
    <w:basedOn w:val="Normal"/>
    <w:link w:val="FooterChar"/>
    <w:uiPriority w:val="99"/>
    <w:unhideWhenUsed/>
    <w:rsid w:val="006E73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LAPTOP</cp:lastModifiedBy>
  <cp:revision>8</cp:revision>
  <dcterms:created xsi:type="dcterms:W3CDTF">2020-08-12T12:30:00Z</dcterms:created>
  <dcterms:modified xsi:type="dcterms:W3CDTF">2020-08-12T12:44:00Z</dcterms:modified>
</cp:coreProperties>
</file>